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4" w:rsidRDefault="00001A64">
      <w:pPr>
        <w:spacing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Извещение о проведении заседания согласительной комиссии</w:t>
      </w:r>
      <w:r>
        <w:rPr>
          <w:b/>
          <w:sz w:val="24"/>
        </w:rPr>
        <w:br/>
        <w:t>по вопросу согласования местоположения границ земельных участков</w:t>
      </w:r>
      <w:r>
        <w:rPr>
          <w:b/>
          <w:sz w:val="24"/>
        </w:rPr>
        <w:br/>
        <w:t>при выполнении комплексных кадастровых работ</w:t>
      </w:r>
    </w:p>
    <w:p w:rsidR="00D05D54" w:rsidRDefault="00001A64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Для размещения в печатном средстве массовой информации и сетевом издании, 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8"/>
        <w:gridCol w:w="57"/>
        <w:gridCol w:w="113"/>
        <w:gridCol w:w="86"/>
        <w:gridCol w:w="28"/>
        <w:gridCol w:w="85"/>
        <w:gridCol w:w="56"/>
        <w:gridCol w:w="142"/>
        <w:gridCol w:w="340"/>
        <w:gridCol w:w="117"/>
        <w:gridCol w:w="54"/>
        <w:gridCol w:w="197"/>
        <w:gridCol w:w="171"/>
        <w:gridCol w:w="340"/>
        <w:gridCol w:w="56"/>
        <w:gridCol w:w="341"/>
        <w:gridCol w:w="227"/>
        <w:gridCol w:w="283"/>
        <w:gridCol w:w="86"/>
        <w:gridCol w:w="197"/>
        <w:gridCol w:w="370"/>
        <w:gridCol w:w="340"/>
        <w:gridCol w:w="283"/>
        <w:gridCol w:w="851"/>
        <w:gridCol w:w="2750"/>
        <w:gridCol w:w="86"/>
        <w:gridCol w:w="141"/>
        <w:gridCol w:w="29"/>
      </w:tblGrid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D05D54" w:rsidRDefault="00001A64">
            <w:pPr>
              <w:spacing w:before="20" w:after="20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ИЗВЕЩЕНИЕ О ПРОВЕДЕНИИ ЗАСЕДАНИЯ СОГЛАСИТЕЛЬНОЙ КОМИССИИ</w:t>
            </w:r>
          </w:p>
          <w:p w:rsidR="00D05D54" w:rsidRDefault="00001A64">
            <w:pPr>
              <w:spacing w:before="20" w:after="20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ВОПРОСУ СОГЛАСОВАНИЯ МЕСТОПОЛОЖЕНИЯ ГРАНИЦ ЗЕМЕЛ</w:t>
            </w:r>
            <w:r>
              <w:rPr>
                <w:b/>
                <w:sz w:val="24"/>
              </w:rPr>
              <w:t>ЬНЫХ УЧАСТКОВ ПРИ ВЫПОЛНЕНИИ КОМПЛЕКСНЫХ КАДАСТРОВЫХ РАБОТ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spacing w:before="20"/>
              <w:ind w:left="170" w:firstLine="539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3429" w:type="dxa"/>
            <w:gridSpan w:val="25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Федерации:</w:t>
            </w:r>
          </w:p>
        </w:tc>
        <w:tc>
          <w:tcPr>
            <w:tcW w:w="6295" w:type="dxa"/>
            <w:gridSpan w:val="1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Еврейская автономная область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образование:</w:t>
            </w:r>
          </w:p>
        </w:tc>
        <w:tc>
          <w:tcPr>
            <w:tcW w:w="6492" w:type="dxa"/>
            <w:gridSpan w:val="1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«Николаевское городское поселение» Смидовичского муниципального района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2154" w:type="dxa"/>
            <w:gridSpan w:val="1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7570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с.Николаевка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D05D54" w:rsidRDefault="00001A64">
            <w:pPr>
              <w:spacing w:before="40"/>
              <w:ind w:left="170"/>
              <w:jc w:val="both"/>
              <w:rPr>
                <w:sz w:val="2"/>
                <w:u w:val="single"/>
              </w:rPr>
            </w:pPr>
            <w:r>
              <w:rPr>
                <w:sz w:val="24"/>
              </w:rPr>
              <w:t xml:space="preserve">№ кадастрового квартала: </w:t>
            </w:r>
            <w:r>
              <w:rPr>
                <w:sz w:val="24"/>
                <w:u w:val="single"/>
              </w:rPr>
              <w:t>79:06:4200001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spacing w:after="20"/>
              <w:ind w:left="170"/>
              <w:rPr>
                <w:sz w:val="24"/>
              </w:rPr>
            </w:pPr>
            <w:r>
              <w:rPr>
                <w:sz w:val="24"/>
              </w:rPr>
              <w:t>в соответствии с ранее выполненным государственным контрактом: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03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70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w="85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14-ЭЛ</w:t>
            </w:r>
          </w:p>
        </w:tc>
        <w:tc>
          <w:tcPr>
            <w:tcW w:w="5133" w:type="dxa"/>
            <w:gridSpan w:val="10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 xml:space="preserve">С целью устранения выявленных нарушений, допущенных при выполнении комплексных кадастровых работ   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ind w:lef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9640" w:type="dxa"/>
            <w:gridSpan w:val="3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Еврейская автономная </w:t>
            </w:r>
            <w:r>
              <w:rPr>
                <w:sz w:val="24"/>
                <w:highlight w:val="white"/>
              </w:rPr>
              <w:t xml:space="preserve">область, </w:t>
            </w:r>
            <w:r>
              <w:rPr>
                <w:sz w:val="24"/>
              </w:rPr>
              <w:t>Смидовичский район, с. Николаевка, ул. Комсомольская д.10</w:t>
            </w:r>
          </w:p>
        </w:tc>
        <w:tc>
          <w:tcPr>
            <w:tcW w:w="1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9640" w:type="dxa"/>
            <w:gridSpan w:val="3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(Адрес работы согласительной комиссии)</w:t>
            </w:r>
          </w:p>
        </w:tc>
        <w:tc>
          <w:tcPr>
            <w:tcW w:w="1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05D54" w:rsidRDefault="00D05D54">
            <w:pPr>
              <w:rPr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</w:rPr>
              <w:br/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color w:val="0000FF"/>
                <w:sz w:val="24"/>
                <w:u w:val="single"/>
              </w:rPr>
            </w:pPr>
            <w:hyperlink r:id="rId7">
              <w:r>
                <w:rPr>
                  <w:color w:val="0000FF"/>
                  <w:sz w:val="24"/>
                  <w:u w:val="single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</w:t>
              </w:r>
              <w:r>
                <w:rPr>
                  <w:color w:val="0000FF"/>
                  <w:sz w:val="24"/>
                  <w:u w:val="single"/>
                </w:rPr>
                <w:t>sii/</w:t>
              </w:r>
            </w:hyperlink>
          </w:p>
          <w:p w:rsidR="00D05D54" w:rsidRDefault="00D05D54">
            <w:pPr>
              <w:jc w:val="center"/>
              <w:rPr>
                <w:sz w:val="2"/>
              </w:rPr>
            </w:pP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 заказчика комплексных кадастровых работ)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Правительство Еврейской автономной области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color w:val="0000FF"/>
                <w:sz w:val="24"/>
                <w:u w:val="single"/>
              </w:rPr>
            </w:pPr>
            <w:hyperlink r:id="rId8">
              <w:r>
                <w:rPr>
                  <w:color w:val="0000FF"/>
                  <w:sz w:val="24"/>
                  <w:u w:val="single"/>
                </w:rPr>
                <w:t>https://www.eao.ru/dokumenty/elektronnoe-ofitsialnoe-opublikovanie/inaya-informatsiya/</w:t>
              </w:r>
            </w:hyperlink>
          </w:p>
          <w:p w:rsidR="00D05D54" w:rsidRDefault="00D05D54">
            <w:pPr>
              <w:jc w:val="center"/>
              <w:rPr>
                <w:sz w:val="2"/>
              </w:rPr>
            </w:pP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ind w:lef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color w:val="0000FF"/>
                <w:sz w:val="24"/>
                <w:u w:val="single"/>
              </w:rPr>
            </w:pPr>
            <w:hyperlink r:id="rId9">
              <w:r>
                <w:rPr>
                  <w:color w:val="0000FF"/>
                  <w:sz w:val="24"/>
                  <w:u w:val="single"/>
                </w:rPr>
                <w:t>https://rosreestr.gov.ru/</w:t>
              </w:r>
            </w:hyperlink>
          </w:p>
          <w:p w:rsidR="00D05D54" w:rsidRDefault="00D05D54">
            <w:pPr>
              <w:jc w:val="center"/>
              <w:rPr>
                <w:sz w:val="2"/>
              </w:rPr>
            </w:pP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677" w:type="dxa"/>
            <w:gridSpan w:val="2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 органа кадастрового учета)</w:t>
            </w:r>
          </w:p>
        </w:tc>
        <w:tc>
          <w:tcPr>
            <w:tcW w:w="28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  <w:tc>
          <w:tcPr>
            <w:tcW w:w="459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05D54" w:rsidRDefault="00001A6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(Адрес сайта)</w:t>
            </w:r>
          </w:p>
        </w:tc>
        <w:tc>
          <w:tcPr>
            <w:tcW w:w="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D05D54" w:rsidRDefault="00D05D54">
            <w:pPr>
              <w:rPr>
                <w:i/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keepLines/>
              <w:spacing w:before="240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9640" w:type="dxa"/>
            <w:gridSpan w:val="37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79:06:4200001</w:t>
            </w:r>
          </w:p>
        </w:tc>
        <w:tc>
          <w:tcPr>
            <w:tcW w:w="1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highlight w:val="white"/>
              </w:rPr>
              <w:t xml:space="preserve">Еврейская автономная область, </w:t>
            </w:r>
            <w:r>
              <w:rPr>
                <w:sz w:val="24"/>
              </w:rPr>
              <w:t xml:space="preserve">Смидовичский район, </w:t>
            </w:r>
          </w:p>
          <w:p w:rsidR="00D05D54" w:rsidRDefault="00001A64">
            <w:pPr>
              <w:rPr>
                <w:sz w:val="22"/>
              </w:rPr>
            </w:pPr>
            <w:r>
              <w:rPr>
                <w:sz w:val="24"/>
              </w:rPr>
              <w:t>п.Николаевка, ул. Комсомольская д.10</w:t>
            </w:r>
          </w:p>
        </w:tc>
        <w:tc>
          <w:tcPr>
            <w:tcW w:w="1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19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73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w="39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448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ind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keepLines/>
              <w:spacing w:before="20" w:after="20"/>
              <w:ind w:lef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keepLines/>
              <w:spacing w:before="20"/>
              <w:ind w:lef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>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97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352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18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65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05D54" w:rsidRDefault="00D05D54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D05D54" w:rsidRDefault="00001A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97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keepLines/>
              <w:spacing w:before="20"/>
              <w:ind w:lef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</w:t>
            </w:r>
            <w:r>
              <w:rPr>
                <w:sz w:val="24"/>
              </w:rPr>
              <w:t>вижимости»</w:t>
            </w:r>
            <w:r>
              <w:rPr>
                <w:sz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</w:t>
            </w:r>
            <w:r>
              <w:rPr>
                <w:sz w:val="24"/>
              </w:rPr>
              <w:t>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</w:t>
            </w:r>
            <w:r>
              <w:rPr>
                <w:sz w:val="24"/>
              </w:rPr>
              <w:t>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</w:t>
            </w:r>
            <w:r>
              <w:rPr>
                <w:sz w:val="24"/>
              </w:rPr>
              <w:t>вшие) местоположение границ при образовании такого земельного участка (при наличии).</w:t>
            </w:r>
          </w:p>
        </w:tc>
      </w:tr>
      <w:tr w:rsidR="00D05D54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1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5D54" w:rsidRDefault="00001A64">
            <w:pPr>
              <w:keepLines/>
              <w:spacing w:after="240"/>
              <w:ind w:lef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05D54" w:rsidRDefault="00D05D54">
      <w:pPr>
        <w:rPr>
          <w:sz w:val="24"/>
        </w:rPr>
      </w:pPr>
    </w:p>
    <w:sectPr w:rsidR="00D05D54">
      <w:headerReference w:type="default" r:id="rId10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A64" w:rsidRDefault="00001A64">
      <w:r>
        <w:rPr>
          <w:rFonts w:ascii="CourierNew" w:eastAsia="CourierNew" w:hAnsi="CourierNew" w:cs="CourierNew"/>
        </w:rPr>
        <w:separator/>
      </w:r>
    </w:p>
  </w:endnote>
  <w:endnote w:type="continuationSeparator" w:id="0">
    <w:p w:rsidR="00001A64" w:rsidRDefault="00001A64">
      <w:r>
        <w:rPr>
          <w:rFonts w:ascii="CourierNew" w:eastAsia="CourierNew" w:hAnsi="CourierNew" w:cs="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Ligh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">
    <w:altName w:val="Courier New"/>
    <w:charset w:val="00"/>
    <w:family w:val="auto"/>
    <w:pitch w:val="default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A64" w:rsidRDefault="00001A64">
      <w:r>
        <w:rPr>
          <w:rFonts w:ascii="CourierNew" w:eastAsia="CourierNew" w:hAnsi="CourierNew" w:cs="CourierNew"/>
        </w:rPr>
        <w:separator/>
      </w:r>
    </w:p>
  </w:footnote>
  <w:footnote w:type="continuationSeparator" w:id="0">
    <w:p w:rsidR="00001A64" w:rsidRDefault="00001A64">
      <w:r>
        <w:rPr>
          <w:rFonts w:ascii="CourierNew" w:eastAsia="CourierNew" w:hAnsi="CourierNew" w:cs="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54" w:rsidRDefault="00D05D54">
    <w:pPr>
      <w:pStyle w:val="af0"/>
      <w:jc w:val="right"/>
      <w:rPr>
        <w:rFonts w:ascii="CourierNew" w:eastAsia="CourierNew" w:hAnsi="CourierNew" w:cs="CourierNew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528"/>
    <w:multiLevelType w:val="hybridMultilevel"/>
    <w:tmpl w:val="39DAE718"/>
    <w:lvl w:ilvl="0" w:tplc="381CFBFA">
      <w:start w:val="1"/>
      <w:numFmt w:val="bullet"/>
      <w:lvlText w:val=""/>
      <w:lvlJc w:val="left"/>
      <w:pPr>
        <w:ind w:hanging="360"/>
      </w:pPr>
    </w:lvl>
    <w:lvl w:ilvl="1" w:tplc="49A83B9A">
      <w:start w:val="1"/>
      <w:numFmt w:val="bullet"/>
      <w:lvlText w:val=""/>
      <w:lvlJc w:val="left"/>
      <w:pPr>
        <w:ind w:hanging="360"/>
      </w:pPr>
    </w:lvl>
    <w:lvl w:ilvl="2" w:tplc="081A40F4">
      <w:start w:val="1"/>
      <w:numFmt w:val="bullet"/>
      <w:lvlText w:val=""/>
      <w:lvlJc w:val="left"/>
      <w:pPr>
        <w:ind w:hanging="360"/>
      </w:pPr>
    </w:lvl>
    <w:lvl w:ilvl="3" w:tplc="54360EDC">
      <w:start w:val="1"/>
      <w:numFmt w:val="bullet"/>
      <w:lvlText w:val=""/>
      <w:lvlJc w:val="left"/>
      <w:pPr>
        <w:ind w:hanging="360"/>
      </w:pPr>
    </w:lvl>
    <w:lvl w:ilvl="4" w:tplc="4EFC8768">
      <w:start w:val="1"/>
      <w:numFmt w:val="bullet"/>
      <w:lvlText w:val=""/>
      <w:lvlJc w:val="left"/>
      <w:pPr>
        <w:ind w:hanging="360"/>
      </w:pPr>
    </w:lvl>
    <w:lvl w:ilvl="5" w:tplc="4336CADE">
      <w:start w:val="1"/>
      <w:numFmt w:val="bullet"/>
      <w:lvlText w:val=""/>
      <w:lvlJc w:val="left"/>
      <w:pPr>
        <w:ind w:hanging="360"/>
      </w:pPr>
    </w:lvl>
    <w:lvl w:ilvl="6" w:tplc="4E2E992A">
      <w:start w:val="1"/>
      <w:numFmt w:val="bullet"/>
      <w:lvlText w:val=""/>
      <w:lvlJc w:val="left"/>
      <w:pPr>
        <w:ind w:hanging="360"/>
      </w:pPr>
    </w:lvl>
    <w:lvl w:ilvl="7" w:tplc="6B0E899C">
      <w:start w:val="1"/>
      <w:numFmt w:val="bullet"/>
      <w:lvlText w:val=""/>
      <w:lvlJc w:val="left"/>
      <w:pPr>
        <w:ind w:hanging="360"/>
      </w:pPr>
    </w:lvl>
    <w:lvl w:ilvl="8" w:tplc="A20AFDD0">
      <w:start w:val="1"/>
      <w:numFmt w:val="bullet"/>
      <w:lvlText w:val=""/>
      <w:lvlJc w:val="left"/>
      <w:pPr>
        <w:ind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4"/>
    <w:rsid w:val="00001A64"/>
    <w:rsid w:val="00A32F43"/>
    <w:rsid w:val="00D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F3C7-4EA6-4EB1-B38E-FD752726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="TimesNewRoman" w:hAnsi="TimesNewRoman" w:cs="TimesNewRoman"/>
        <w:sz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CalibriLight" w:eastAsia="CalibriLight" w:hAnsi="CalibriLight" w:cs="CalibriLight"/>
      <w:b/>
      <w:sz w:val="32"/>
    </w:rPr>
  </w:style>
  <w:style w:type="character" w:customStyle="1" w:styleId="20">
    <w:name w:val="Заголовок 2 Знак"/>
    <w:basedOn w:val="a0"/>
    <w:semiHidden/>
    <w:rPr>
      <w:rFonts w:ascii="CalibriLight" w:eastAsia="CalibriLight" w:hAnsi="CalibriLight" w:cs="CalibriLight"/>
      <w:b/>
      <w:i/>
      <w:sz w:val="28"/>
    </w:rPr>
  </w:style>
  <w:style w:type="character" w:customStyle="1" w:styleId="30">
    <w:name w:val="Заголовок 3 Знак"/>
    <w:basedOn w:val="a0"/>
    <w:semiHidden/>
    <w:rPr>
      <w:rFonts w:ascii="CalibriLight" w:eastAsia="CalibriLight" w:hAnsi="CalibriLight" w:cs="CalibriLight"/>
      <w:b/>
      <w:sz w:val="26"/>
    </w:rPr>
  </w:style>
  <w:style w:type="character" w:customStyle="1" w:styleId="40">
    <w:name w:val="Заголовок 4 Знак"/>
    <w:basedOn w:val="a0"/>
    <w:semiHidden/>
    <w:rPr>
      <w:rFonts w:ascii="Calibri" w:eastAsia="Calibri" w:hAnsi="Calibri" w:cs="Calibri"/>
      <w:b/>
      <w:sz w:val="28"/>
    </w:rPr>
  </w:style>
  <w:style w:type="character" w:customStyle="1" w:styleId="50">
    <w:name w:val="Заголовок 5 Знак"/>
    <w:basedOn w:val="a0"/>
    <w:semiHidden/>
    <w:rPr>
      <w:rFonts w:ascii="Calibri" w:eastAsia="Calibri" w:hAnsi="Calibri" w:cs="Calibri"/>
      <w:b/>
      <w:i/>
      <w:sz w:val="26"/>
    </w:rPr>
  </w:style>
  <w:style w:type="character" w:customStyle="1" w:styleId="60">
    <w:name w:val="Заголовок 6 Знак"/>
    <w:basedOn w:val="a0"/>
    <w:semiHidden/>
    <w:rPr>
      <w:rFonts w:ascii="Calibri" w:eastAsia="Calibri" w:hAnsi="Calibri" w:cs="Calibri"/>
      <w:b/>
      <w:sz w:val="22"/>
    </w:rPr>
  </w:style>
  <w:style w:type="character" w:customStyle="1" w:styleId="70">
    <w:name w:val="Заголовок 7 Знак"/>
    <w:basedOn w:val="a0"/>
    <w:semiHidden/>
    <w:rPr>
      <w:rFonts w:ascii="Calibri" w:eastAsia="Calibri" w:hAnsi="Calibri" w:cs="Calibri"/>
      <w:sz w:val="24"/>
    </w:rPr>
  </w:style>
  <w:style w:type="character" w:customStyle="1" w:styleId="80">
    <w:name w:val="Заголовок 8 Знак"/>
    <w:basedOn w:val="a0"/>
    <w:semiHidden/>
    <w:rPr>
      <w:rFonts w:ascii="Calibri" w:eastAsia="Calibri" w:hAnsi="Calibri" w:cs="Calibri"/>
      <w:i/>
      <w:sz w:val="24"/>
    </w:rPr>
  </w:style>
  <w:style w:type="character" w:customStyle="1" w:styleId="90">
    <w:name w:val="Заголовок 9 Знак"/>
    <w:basedOn w:val="a0"/>
    <w:semiHidden/>
    <w:rPr>
      <w:rFonts w:ascii="CalibriLight" w:eastAsia="CalibriLight" w:hAnsi="CalibriLight" w:cs="CalibriLight"/>
      <w:sz w:val="22"/>
    </w:rPr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4">
    <w:name w:val="No Spacing"/>
    <w:qFormat/>
    <w:pPr>
      <w:spacing w:after="0" w:line="240" w:lineRule="auto"/>
    </w:pPr>
    <w:rPr>
      <w:rFonts w:ascii="Arial" w:eastAsia="Arial" w:hAnsi="Arial" w:cs="Arial"/>
    </w:rPr>
  </w:style>
  <w:style w:type="paragraph" w:styleId="a5">
    <w:name w:val="Title"/>
    <w:basedOn w:val="a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character" w:customStyle="1" w:styleId="a6">
    <w:name w:val="Название Знак"/>
    <w:basedOn w:val="a0"/>
    <w:rPr>
      <w:rFonts w:ascii="CalibriLight" w:eastAsia="CalibriLight" w:hAnsi="CalibriLight" w:cs="CalibriLight"/>
      <w:b/>
      <w:sz w:val="32"/>
    </w:rPr>
  </w:style>
  <w:style w:type="character" w:customStyle="1" w:styleId="TitleChar">
    <w:name w:val="Title Char"/>
    <w:basedOn w:val="a0"/>
    <w:rPr>
      <w:rFonts w:ascii="Arial" w:eastAsia="Arial" w:hAnsi="Arial" w:cs="Arial"/>
      <w:sz w:val="48"/>
    </w:rPr>
  </w:style>
  <w:style w:type="paragraph" w:styleId="a7">
    <w:name w:val="Subtitle"/>
    <w:basedOn w:val="a"/>
    <w:qFormat/>
    <w:pPr>
      <w:spacing w:before="200" w:after="200"/>
    </w:pPr>
    <w:rPr>
      <w:rFonts w:ascii="Arial" w:eastAsia="Arial" w:hAnsi="Arial" w:cs="Arial"/>
      <w:sz w:val="24"/>
    </w:rPr>
  </w:style>
  <w:style w:type="character" w:customStyle="1" w:styleId="a8">
    <w:name w:val="Подзаголовок Знак"/>
    <w:basedOn w:val="a0"/>
    <w:rPr>
      <w:rFonts w:ascii="CalibriLight" w:eastAsia="CalibriLight" w:hAnsi="CalibriLight" w:cs="CalibriLight"/>
      <w:sz w:val="24"/>
    </w:rPr>
  </w:style>
  <w:style w:type="character" w:customStyle="1" w:styleId="SubtitleChar">
    <w:name w:val="Subtitle Char"/>
    <w:basedOn w:val="a0"/>
    <w:rPr>
      <w:rFonts w:ascii="Arial" w:eastAsia="Arial" w:hAnsi="Arial" w:cs="Arial"/>
      <w:sz w:val="24"/>
    </w:rPr>
  </w:style>
  <w:style w:type="paragraph" w:styleId="21">
    <w:name w:val="Quote"/>
    <w:basedOn w:val="a"/>
    <w:qFormat/>
    <w:pPr>
      <w:ind w:left="720"/>
    </w:pPr>
    <w:rPr>
      <w:rFonts w:ascii="Arial" w:eastAsia="Arial" w:hAnsi="Arial" w:cs="Arial"/>
      <w:i/>
      <w:sz w:val="24"/>
    </w:rPr>
  </w:style>
  <w:style w:type="character" w:customStyle="1" w:styleId="22">
    <w:name w:val="Цитата 2 Знак"/>
    <w:basedOn w:val="a0"/>
    <w:rPr>
      <w:rFonts w:ascii="TimesNewRoman" w:eastAsia="TimesNewRoman" w:hAnsi="TimesNewRoman" w:cs="TimesNewRoman"/>
      <w:i/>
      <w:color w:val="404040"/>
      <w:sz w:val="24"/>
    </w:rPr>
  </w:style>
  <w:style w:type="character" w:customStyle="1" w:styleId="QuoteChar">
    <w:name w:val="Quote Char"/>
    <w:rPr>
      <w:rFonts w:ascii="Arial" w:eastAsia="Arial" w:hAnsi="Arial" w:cs="Arial"/>
      <w:i/>
      <w:sz w:val="24"/>
    </w:rPr>
  </w:style>
  <w:style w:type="paragraph" w:styleId="a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Arial" w:eastAsia="Arial" w:hAnsi="Arial" w:cs="Arial"/>
      <w:i/>
      <w:sz w:val="24"/>
    </w:rPr>
  </w:style>
  <w:style w:type="character" w:customStyle="1" w:styleId="aa">
    <w:name w:val="Выделенная цитата Знак"/>
    <w:basedOn w:val="a0"/>
    <w:rPr>
      <w:rFonts w:ascii="TimesNewRoman" w:eastAsia="TimesNewRoman" w:hAnsi="TimesNewRoman" w:cs="TimesNewRoman"/>
      <w:i/>
      <w:color w:val="5B9BD5"/>
      <w:sz w:val="24"/>
    </w:rPr>
  </w:style>
  <w:style w:type="character" w:customStyle="1" w:styleId="IntenseQuoteChar">
    <w:name w:val="Intense Quote Char"/>
    <w:rPr>
      <w:rFonts w:ascii="Arial" w:eastAsia="Arial" w:hAnsi="Arial" w:cs="Arial"/>
      <w:i/>
      <w:sz w:val="24"/>
    </w:rPr>
  </w:style>
  <w:style w:type="character" w:customStyle="1" w:styleId="HeaderChar">
    <w:name w:val="Header Char"/>
    <w:basedOn w:val="a0"/>
    <w:rPr>
      <w:rFonts w:ascii="Arial" w:eastAsia="Arial" w:hAnsi="Arial" w:cs="Arial"/>
      <w:sz w:val="24"/>
    </w:rPr>
  </w:style>
  <w:style w:type="character" w:customStyle="1" w:styleId="FooterChar">
    <w:name w:val="Footer Char"/>
    <w:basedOn w:val="a0"/>
    <w:rPr>
      <w:rFonts w:ascii="Arial" w:eastAsia="Arial" w:hAnsi="Arial" w:cs="Arial"/>
      <w:sz w:val="24"/>
    </w:rPr>
  </w:style>
  <w:style w:type="paragraph" w:styleId="ab">
    <w:name w:val="caption"/>
    <w:basedOn w:val="a"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character" w:customStyle="1" w:styleId="CaptionChar">
    <w:name w:val="Caption Char"/>
    <w:rPr>
      <w:rFonts w:ascii="Arial" w:eastAsia="Arial" w:hAnsi="Arial" w:cs="Arial"/>
      <w:sz w:val="24"/>
    </w:rPr>
  </w:style>
  <w:style w:type="table" w:styleId="ac">
    <w:name w:val="Table Grid"/>
    <w:basedOn w:val="a1"/>
    <w:pPr>
      <w:spacing w:after="0" w:line="240" w:lineRule="auto"/>
    </w:pPr>
    <w:rPr>
      <w:rFonts w:ascii="Arial" w:eastAsia="Arial" w:hAnsi="Arial" w:cs="Arial"/>
    </w:rPr>
    <w:tblPr/>
  </w:style>
  <w:style w:type="table" w:customStyle="1" w:styleId="TableGridLight">
    <w:name w:val="Table Grid Light"/>
    <w:basedOn w:val="a1"/>
    <w:pPr>
      <w:spacing w:after="0" w:line="240" w:lineRule="auto"/>
    </w:pPr>
    <w:rPr>
      <w:rFonts w:ascii="Arial" w:eastAsia="Arial" w:hAnsi="Arial" w:cs="Arial"/>
    </w:rPr>
    <w:tblPr/>
  </w:style>
  <w:style w:type="table" w:styleId="11">
    <w:name w:val="Plain Table 1"/>
    <w:basedOn w:val="a1"/>
    <w:pPr>
      <w:spacing w:after="0" w:line="240" w:lineRule="auto"/>
    </w:pPr>
    <w:rPr>
      <w:rFonts w:ascii="Arial" w:eastAsia="Arial" w:hAnsi="Arial" w:cs="Arial"/>
    </w:rPr>
    <w:tblPr/>
  </w:style>
  <w:style w:type="table" w:styleId="23">
    <w:name w:val="Plain Table 2"/>
    <w:basedOn w:val="a1"/>
    <w:pPr>
      <w:spacing w:after="0" w:line="240" w:lineRule="auto"/>
    </w:pPr>
    <w:rPr>
      <w:rFonts w:ascii="Arial" w:eastAsia="Arial" w:hAnsi="Arial" w:cs="Arial"/>
    </w:rPr>
    <w:tblPr/>
  </w:style>
  <w:style w:type="table" w:styleId="31">
    <w:name w:val="Plain Table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rFonts w:ascii="Arial" w:eastAsia="Arial" w:hAnsi="Arial" w:cs="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rPr>
      <w:rFonts w:ascii="Arial" w:eastAsia="Arial" w:hAnsi="Arial" w:cs="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nhideWhenUsed/>
    <w:rPr>
      <w:rFonts w:ascii="Arial" w:eastAsia="Arial" w:hAnsi="Arial" w:cs="Arial"/>
      <w:color w:val="0000FF"/>
      <w:sz w:val="24"/>
      <w:u w:val="single"/>
    </w:rPr>
  </w:style>
  <w:style w:type="character" w:customStyle="1" w:styleId="FootnoteTextChar">
    <w:name w:val="Footnote Text Char"/>
    <w:rPr>
      <w:rFonts w:ascii="Arial" w:eastAsia="Arial" w:hAnsi="Arial" w:cs="Arial"/>
      <w:sz w:val="18"/>
    </w:rPr>
  </w:style>
  <w:style w:type="character" w:customStyle="1" w:styleId="EndnoteTextChar">
    <w:name w:val="Endnote Text Char"/>
    <w:rPr>
      <w:rFonts w:ascii="Arial" w:eastAsia="Arial" w:hAnsi="Arial" w:cs="Arial"/>
      <w:sz w:val="20"/>
    </w:rPr>
  </w:style>
  <w:style w:type="paragraph" w:styleId="12">
    <w:name w:val="toc 1"/>
    <w:basedOn w:val="a"/>
    <w:unhideWhenUsed/>
    <w:pPr>
      <w:spacing w:after="57"/>
    </w:pPr>
    <w:rPr>
      <w:rFonts w:ascii="Arial" w:eastAsia="Arial" w:hAnsi="Arial" w:cs="Arial"/>
      <w:sz w:val="24"/>
    </w:rPr>
  </w:style>
  <w:style w:type="paragraph" w:styleId="24">
    <w:name w:val="toc 2"/>
    <w:basedOn w:val="a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2">
    <w:name w:val="toc 3"/>
    <w:basedOn w:val="a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2">
    <w:name w:val="toc 4"/>
    <w:basedOn w:val="a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2">
    <w:name w:val="toc 5"/>
    <w:basedOn w:val="a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1">
    <w:name w:val="toc 6"/>
    <w:basedOn w:val="a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1">
    <w:name w:val="toc 7"/>
    <w:basedOn w:val="a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1">
    <w:name w:val="toc 8"/>
    <w:basedOn w:val="a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1">
    <w:name w:val="toc 9"/>
    <w:basedOn w:val="a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e">
    <w:name w:val="TOC Heading"/>
    <w:basedOn w:val="1"/>
    <w:qFormat/>
    <w:pPr>
      <w:spacing w:before="0" w:after="0"/>
    </w:pPr>
    <w:rPr>
      <w:sz w:val="24"/>
    </w:rPr>
  </w:style>
  <w:style w:type="paragraph" w:styleId="af">
    <w:name w:val="table of figures"/>
    <w:basedOn w:val="a"/>
    <w:unhideWhenUsed/>
    <w:rPr>
      <w:rFonts w:ascii="Arial" w:eastAsia="Arial" w:hAnsi="Arial" w:cs="Arial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semiHidden/>
    <w:rPr>
      <w:rFonts w:ascii="TimesNewRoman" w:eastAsia="TimesNewRoman" w:hAnsi="TimesNewRoman" w:cs="TimesNewRoman"/>
      <w:sz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semiHidden/>
    <w:rPr>
      <w:rFonts w:ascii="TimesNewRoman" w:eastAsia="TimesNewRoman" w:hAnsi="TimesNewRoman" w:cs="TimesNewRoman"/>
      <w:sz w:val="20"/>
    </w:rPr>
  </w:style>
  <w:style w:type="paragraph" w:styleId="af4">
    <w:name w:val="footnote text"/>
    <w:basedOn w:val="a"/>
  </w:style>
  <w:style w:type="character" w:customStyle="1" w:styleId="af5">
    <w:name w:val="Текст сноски Знак"/>
    <w:basedOn w:val="a0"/>
    <w:semiHidden/>
    <w:rPr>
      <w:rFonts w:ascii="TimesNewRoman" w:eastAsia="TimesNewRoman" w:hAnsi="TimesNewRoman" w:cs="TimesNewRoman"/>
      <w:sz w:val="20"/>
    </w:rPr>
  </w:style>
  <w:style w:type="character" w:styleId="af6">
    <w:name w:val="footnote reference"/>
    <w:basedOn w:val="a0"/>
    <w:rPr>
      <w:rFonts w:ascii="TimesNewRoman" w:eastAsia="TimesNewRoman" w:hAnsi="TimesNewRoman" w:cs="TimesNewRoman"/>
      <w:sz w:val="24"/>
      <w:vertAlign w:val="superscript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New" w:eastAsia="CourierNew" w:hAnsi="CourierNew" w:cs="CourierNew"/>
      <w:sz w:val="20"/>
    </w:rPr>
  </w:style>
  <w:style w:type="paragraph" w:styleId="af7">
    <w:name w:val="endnote text"/>
    <w:basedOn w:val="a"/>
  </w:style>
  <w:style w:type="character" w:customStyle="1" w:styleId="af8">
    <w:name w:val="Текст концевой сноски Знак"/>
    <w:basedOn w:val="a0"/>
    <w:semiHidden/>
    <w:rPr>
      <w:rFonts w:ascii="TimesNewRoman" w:eastAsia="TimesNewRoman" w:hAnsi="TimesNewRoman" w:cs="TimesNewRoman"/>
      <w:sz w:val="20"/>
    </w:rPr>
  </w:style>
  <w:style w:type="character" w:styleId="af9">
    <w:name w:val="endnote reference"/>
    <w:basedOn w:val="a0"/>
    <w:rPr>
      <w:rFonts w:ascii="TimesNewRoman" w:eastAsia="TimesNewRoman" w:hAnsi="TimesNewRoman" w:cs="TimesNewRoman"/>
      <w:sz w:val="24"/>
      <w:vertAlign w:val="superscript"/>
    </w:rPr>
  </w:style>
  <w:style w:type="paragraph" w:styleId="afa">
    <w:name w:val="Normal (Web)"/>
    <w:basedOn w:val="a"/>
    <w:semiHidden/>
    <w:unhideWhenUsed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dokumenty/elektronnoe-ofitsialnoe-opublikovanie/inaya-inform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terminal</cp:lastModifiedBy>
  <cp:revision>2</cp:revision>
  <dcterms:created xsi:type="dcterms:W3CDTF">2025-09-09T02:49:00Z</dcterms:created>
  <dcterms:modified xsi:type="dcterms:W3CDTF">2025-09-09T02:49:00Z</dcterms:modified>
</cp:coreProperties>
</file>